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黑体" w:hAnsi="黑体" w:eastAsia="黑体" w:cs="黑体"/>
          <w:b/>
          <w:bCs/>
          <w:i w:val="0"/>
          <w:caps w:val="0"/>
          <w:color w:val="222222"/>
          <w:spacing w:val="0"/>
          <w:sz w:val="30"/>
          <w:szCs w:val="30"/>
        </w:rPr>
      </w:pPr>
      <w:bookmarkStart w:id="0" w:name="_GoBack"/>
      <w:r>
        <w:rPr>
          <w:rFonts w:hint="eastAsia" w:ascii="黑体" w:hAnsi="黑体" w:eastAsia="黑体" w:cs="黑体"/>
          <w:b/>
          <w:bCs/>
          <w:i w:val="0"/>
          <w:caps w:val="0"/>
          <w:color w:val="222222"/>
          <w:spacing w:val="0"/>
          <w:sz w:val="30"/>
          <w:szCs w:val="30"/>
          <w:bdr w:val="none" w:color="auto" w:sz="0" w:space="0"/>
        </w:rPr>
        <w:t>《中国共产党重大事项请示报告条例》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第一条 为了加强和规范重大事项请示报告工作，严明党的政治纪律、组织纪律和工作纪律，保证全党全国服从党中央、政令畅通，根据《中国共产党章程》、《关于新形势下党内政治生活的若干准则》等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第三条 本条例适用于下级党组织向上级党组织，以及党员、领导干部向党组织请示报告重大事项相关活动。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本条例所称请示，是指下级党组织向上级党组织，党员、领导干部向党组织就重大事项请求指示或者批准；所称报告，是指下级党组织向上级党组织，党员、领导干部向党组织呈报重要事情和重要情况。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第四条 开展重大事项请示报告工作应当遵循以下原则：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（一）坚持政治导向。树牢“四个意识”，落实“四个服从”，把请示报告作为重要政治纪律和政治规矩，把讲政治要求贯彻到请示报告工作全过程和各方面。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（二）坚持权责明晰。既牢记授权有限，该请示的必须请示，该报告的必须报告；又牢记守土有责，该负责的必须负责，该担当的必须担当。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（三）坚持客观真实。全面如实请示报告工作、反映情况、分析问题、提出建议，既报喜又报忧、既报功又报过、既报结果又报过程。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（四）坚持规范有序。落实依规治党要求，严格按照党章党规规定的主体、范围、程序和方式开展重大事项请示报告工作。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第五条 各地区各部门党组织承担重大事项请示报告工作主体责任，党组织主要负责同志为第一责任人，对请示报告工作负总责。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第二章 党组织请示报告主体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第六条 党组织请示报告工作一般应当以组织名义进行，向负有领导或者监督指导职责的上级党组织请示报告。特殊情况下，可以根据工作需要以党组织负责同志名义代表党组织请示报告。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请示报告应当逐级进行，一般不得越级请示报告。特殊情况下，可以按照有关规定直接向更高层级党组织请示报告。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第七条 接受双重领导的单位党组织，应当根据事项性质和内容向负有主要领导职责的上级党组织请示报告，同时抄送另一个上级党组织。特殊情况下，可以不抄送另一个上级党组织。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第八条 接受归口领导、管理的单位党组织，必须服从批准其设立的党组织的领导，向其请示报告工作，并按照有关规定向归口领导、管理单位党组织请示报告。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第九条 接受归口指导、协调或者监督的单位党组织，向上级党组织请示报告一般应当抄送负有指导、协调或者监督职责的单位党组织。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负有指导、协调或者监督职责的单位党组织应当统筹所负责区域、领域、行业、系统内各单位党组织的请示报告工作，归口统一向上级党组织请示报告总体情况、牵头事项完成情况等。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第十条 涉及跨区域、跨领域、跨行业、跨系统的重大事项，应当由有关党组织向共同上级党组织联合请示报告。联合请示报告应当明确牵头党组织。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党政机关联合请示报告的，一般应当将上级党政机关同时列为请示报告对象。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第十一条 根据党内法规制度规定，党的决策议事协调机构和党的工作机关可以在其职权范围内接受下级党组织的请示报告并作出处理。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第三章 　党组织请示报告事项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第十三条 党组织应当向上级党组织请示下列事项：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（一）贯彻落实党中央决策部署和上级党组织决定中的重要情况和问题，需要作出调整的政策措施，需要支持解决的特殊困难；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（二）重大改革措施、重大立法事项、重大体制变动、重大项目推进、重大突发事件、重大机构调整、重要干部任免、重要表彰奖励、重大违纪违法和复杂敏感案件处理等；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（三）明确规定需要请示的重要会议、重要活动、重要文件等；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（四）重大活动、重要政策的宣传报道口径，新闻宣传和意识形态工作中的全局性问题和不易把握的问题；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（五）出台重大创新举措，特别是遇到新情况新问题且无明文规定、需要先行先试，或者创新举措可能与现行规定相冲突、需经授权才能实施的情况；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（六）属于自身职权范围内但事关重大或者特殊敏感的事项；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（七）重大决策时存在较大意见分歧的情况；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（八）跨区域、跨领域、跨行业、跨系统工作中需要上级党组织统筹推进的重大事项；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（九）调整上级党组织文件、会议精神的传达知悉范围，使用上级党组织负责同志未公开的讲话、音像资料等；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（十）其他应当请示的重大事项。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下列事项不必向上级党组织请示：属于自身职权范围内的日常工作；上级党组织就有关问题已经作出明确批复的；事后报告即可的事项等。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第十四条 党组织应当向上级党组织报告下列事项：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（一）学习贯彻习近平新时代中国特色社会主义思想，统筹推进“五位一体”总体布局和协调推进“四个全面”战略布局的重要情况；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（二）党中央以及上级党组织重要会议、重要文件、重大决策部署贯彻落实情况，习近平总书记重要指示批示贯彻落实情况，上级党组织负责同志交办事项的研究办理情况；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（四）全面工作总结和计划；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（五）重大专项工作开展情况；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（六）重大敏感事件、突发事件和群体性事件应对处置情况；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（七）经济社会发展中出现的重要情况和重大舆情；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（八）本地区、本部门、本单位工作中具有在更大范围推广价值的经验做法和意见建议；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（九）其他应当报告的重大事项。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下列事项不必向上级党组织报告：具体事务性工作；没有实质性内容的表态和情况反映等。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第十五条 党组织应当按照有关规定向上级党组织报备下列事项：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（一）党内法规和规范性文件；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（二）领导班子成员分工；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（三）有关干部任免；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（四）党委委员、候补委员职务的辞去、免去或者自动终止；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（五）其他应当报备的重大事项。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第十六条 中央各决策议事协调机构、中央各部门、有关中央国家机关党组（党委）应当对本领域、行业、系统内请示报告的具体事项提出明确要求、加强工作指导。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上级党组织应当从实际出发，对下级党组织请示报告中主题相近、内容关联的同类事项归并整合提出要求，促使请示报告精简务实。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第十七条 党组织应当根据本条例规定的请示报告事项范围和内容，结合上级要求和自身实际，制定请示报告事项清单。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第四章 　党组织请示报告程序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第十八条 重大事项请示报告一般应当经党组织领导班子集体研究或者传批审定，由主要负责同志签发或者作出。必要时应当事先报上级党组织分管负责同志同意。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两个以上党组织联合请示报告的，应当协商一致后呈报。未取得一致意见的，应当对有关情况作出说明。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第十九条 向上级党组织请示重大事项，必须事前请示，给上级党组织以充足研判和决策时间。情况紧急来不及请示必须临机处置的，应当按照规定履职尽责，并及时进行后续请示报告。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第二十条 提出请示应当阐明请求事项及相关理由。报送请示应当一文一事，不得在报告等非请示性公文中夹带请示事项。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对下级党组织请示的重大事项，受理党组织如需以其名义再向上级党组织请示的，应当认真研究并负责任地提出处理建议，不得只将原文转请示上级党组织。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第二十一条 上级党组织收到请示后，一般由综合部门提出拟办意见报党组织负责同志按照规定批办。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党政机关联合提出的请示，由上级党组织牵头办理。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第二十二条 上级党组织对受理的紧急请示事项应当尽快办理。有明确办理时限要求的应当在规定期限内办理完毕，确有特殊情况无法在规定期限内办理完毕的，应当主动向下级党组织说明情况。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第二十三条  请示的答复一般应当坚持向谁请示由谁答复，特殊情况下受理请示的党组织可以授权党组织有关部门代为答复。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第二十五条  上级党组织收到报告后，应当由综合部门根据工作需要报送党组织负责同志阅示。综合部门可以将主题相同、内容相近的报告统一集中报送，或者摘要形成综合材料后报送。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党组织负责同志对报告作出批示指示的，综合部门应当及时按照要求办理。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第二十七条  重大事项请示报告工作存在可能影响公正办理情形的，有关人员应当回避。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第五章  党组织请示报告方式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第二十八条  党组织应当根据重大事项类型和缓急程度采用口头、书面方式进行请示报告。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第二十九条  重大事项请示报告适宜简便进行的，可以采用口头方式。对于情况紧急或者重大事项处理尚处于初步酝酿阶段的，可以采用口头方式先行请示报告，后续再以书面方式补充请示报告。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口头请示报告应当做好记录和资料留存，确保有据可查。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第三十一条  非紧急情况、重大事项处理处于相对成熟阶段或者不适宜简便进行的请示报告，应当采用书面方式。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第三十二条  书面报告视情采用正式报告、信息、简报等方式。信息侧重于报告重大突发事件，需要注意的问题、现象和情况等，应当做到及时高效、权威准确。简报侧重于报告某方面工作简要情况。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党组织应当统筹用好书面报告方式，坚持“一事不二报”，一般不得就同一内容使用多种方式重复报告。上级党组织明确要求正式报告的，不得以其他方式代替。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第三十三条  党组织可以利用电话、文件、传真、电报、网络等载体开展请示报告工作。涉密事项应当按照有关保密规定执行。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基层党组织开展请示报告工作可以更加灵活便捷、突出实效。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第六章  党员、领导干部请示报告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第三十四条  党员一般应当向所在党组织请示报告重大事项。领导干部一般应当向所属党组织请示报告重要工作。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党员、领导干部向党组织请示报告个人有关事项，按照有关规定执行。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第三十五条  党员应当向党组织请示下列事项：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（一）从事党组织所分配的工作中的重要问题；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（二）代表党组织发表主张或者作出决定；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（三）按照规定需要请示的涉外工作交往活动；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（四）转移党的组织关系；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（五）其他应当向党组织请示的事项。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第三十六条  党员应当向党组织报告下列事项：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（一）贯彻执行党组织决议以及完成党组织交办工作任务情况；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（二）对党的工作和领导干部的意见建议；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（三）发现党员、领导干部违纪违法线索情况；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（四）流动外出情况；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（五）其他应当向党组织报告的事项。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第三十七条  领导干部应当向党组织请示下列事项：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（一）超出自身职权范围，应当由所在党组织或者上级党组织作出决定的重大事项；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（二）属于自身职权范围但事关重大的问题和情况；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（三）代表党组织对外发表重要意见；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（四）因故无法履职或者离开工作所在地；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（五）其他应当向党组织请示的事项。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第三十八条  领导干部应当向党组织报告下列事项：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（一）学习贯彻习近平新时代中国特色社会主义思想，贯彻落实党中央决策部署和党组织决定中的重要情况和问题；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（二）遵守政治纪律和政治规矩，坚决维护习近平总书记党中央的核心、全党的核心地位，坚决维护党中央权威和集中统一领导情况；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（三）坚持民主集中制，发扬党内民主，正确行使权力，参与集体领导情况；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（四）参加领导班子民主生活会和所在党支部（党小组）组织生活会情况；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（五）履行管党治党责任，加强党风廉政建设和反腐败工作以及遵守廉洁纪律情况；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（六）重大决策失误或者应对突发事件处置失当，纪检监察、巡视巡察和审计中发现重要问题，以及违纪违法情况；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（七）可能影响正常履职的重大疾病等情况；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（八）其他应当向党组织报告的事项。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第三十九条  党员、领导干部按照规定采用口头、书面方式进行请示报告。党组织应当及时办理党员、领导干部的请示事项，必要时可以对报告事项作出研究处理。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第七章  监督与追责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第四十条  党组织应当将重大事项请示报告工作开展情况纳入向上一级党组织报告工作的重要内容。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第四十一条  党组织应当建立健全重大事项请示报告工作督查机制，并将执行请示报告制度情况纳入日常监督和巡视巡察范围。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第四十三条  建立健全纠错机制，对于重大事项请示报告工作中出现的主体不适当、内容不准确、程序不规范、方式不合理等问题，上级党组织应当及时提醒纠正，并将有关情况体现到考评通报中。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第四十四条  实行重大事项请示报告责任追究制度，有下列情形之一的，应当依规依纪追究有关党组织和党员、领导干部以及工作人员的责任，涉嫌违法犯罪的，按照有关法律规定处理：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（一）违反政治纪律和政治规矩，擅自决定应当由党中央决定的重大事项，损害党中央权威和集中统一领导的；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（二）履行领导责任不到位，对重大事项请示报告不重视不部署，工作开展不力的；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（三）违反组织原则，该请示不请示，该报告不报告的；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（四）缺乏责任担当，推诿塞责、上交矛盾、消极作为的；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（五）搞形式主义、官僚主义，请示报告内容不实、信息不准，造成严重后果的；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（六）违反工作要求，不按规定程序和方式请示报告，造成严重后果的；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（七）其他应当追究责任的情形。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第四十五条  各省、自治区、直辖市党委，中央各决策议事协调机构，中央各部门，中央国家机关各部委党组（党委），应当紧密结合工作实际制定具体落实措施。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第四十六条  中央军事委员会可以根据本条例，结合中国人民解放军和中国人民武装警察部队的实际情况，制定相关规定。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第四十七条  本条例由中央办公厅负责解释。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left"/>
        <w:rPr>
          <w:rFonts w:hint="eastAsia" w:ascii="微软雅黑" w:hAnsi="微软雅黑" w:eastAsia="微软雅黑" w:cs="微软雅黑"/>
          <w:b w:val="0"/>
          <w:i w:val="0"/>
          <w:caps w:val="0"/>
          <w:color w:val="222222"/>
          <w:spacing w:val="0"/>
          <w:sz w:val="27"/>
          <w:szCs w:val="27"/>
        </w:rPr>
      </w:pPr>
      <w:r>
        <w:rPr>
          <w:rFonts w:hint="eastAsia" w:ascii="微软雅黑" w:hAnsi="微软雅黑" w:eastAsia="微软雅黑" w:cs="微软雅黑"/>
          <w:b w:val="0"/>
          <w:i w:val="0"/>
          <w:caps w:val="0"/>
          <w:color w:val="222222"/>
          <w:spacing w:val="0"/>
          <w:sz w:val="27"/>
          <w:szCs w:val="27"/>
          <w:bdr w:val="none" w:color="auto" w:sz="0" w:space="0"/>
        </w:rPr>
        <w:t>　　第四十八条  本条例自2019年1月31日起施行。</w:t>
      </w:r>
    </w:p>
    <w:p>
      <w:r>
        <w:rPr>
          <w:rFonts w:ascii="宋体" w:hAnsi="宋体" w:eastAsia="宋体" w:cs="宋体"/>
          <w:sz w:val="24"/>
          <w:szCs w:val="24"/>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4531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强强</dc:creator>
  <cp:lastModifiedBy>强强</cp:lastModifiedBy>
  <dcterms:modified xsi:type="dcterms:W3CDTF">2019-03-05T01:57:03Z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